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F8" w:rsidRDefault="00E60408" w:rsidP="00E60408">
      <w:pPr>
        <w:jc w:val="center"/>
        <w:rPr>
          <w:rFonts w:ascii="Arial" w:hAnsi="Arial" w:cs="Arial"/>
          <w:b/>
          <w:color w:val="1F3864" w:themeColor="accent5" w:themeShade="80"/>
          <w:sz w:val="48"/>
          <w:szCs w:val="48"/>
        </w:rPr>
      </w:pPr>
      <w:r>
        <w:rPr>
          <w:rFonts w:ascii="Arial" w:hAnsi="Arial" w:cs="Arial"/>
          <w:noProof/>
          <w:color w:val="3B3838" w:themeColor="background2" w:themeShade="40"/>
          <w:sz w:val="72"/>
          <w:szCs w:val="72"/>
          <w:lang w:val="en-GB" w:eastAsia="en-GB"/>
        </w:rPr>
        <w:drawing>
          <wp:inline distT="0" distB="0" distL="0" distR="0" wp14:anchorId="224BE185" wp14:editId="54176084">
            <wp:extent cx="3572510" cy="1652270"/>
            <wp:effectExtent l="0" t="0" r="8890" b="5080"/>
            <wp:docPr id="1" name="Picture 1" descr="Lanreath Parish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510" cy="1652270"/>
                    </a:xfrm>
                    <a:prstGeom prst="rect">
                      <a:avLst/>
                    </a:prstGeom>
                    <a:noFill/>
                  </pic:spPr>
                </pic:pic>
              </a:graphicData>
            </a:graphic>
          </wp:inline>
        </w:drawing>
      </w:r>
    </w:p>
    <w:p w:rsidR="00E60408" w:rsidRPr="008D3F9C" w:rsidRDefault="00E60408" w:rsidP="009E0FF8">
      <w:pPr>
        <w:spacing w:before="2280"/>
        <w:jc w:val="center"/>
        <w:rPr>
          <w:rFonts w:ascii="Arial" w:hAnsi="Arial" w:cs="Arial"/>
          <w:b/>
          <w:color w:val="1F3864" w:themeColor="accent5" w:themeShade="80"/>
          <w:sz w:val="48"/>
          <w:szCs w:val="48"/>
        </w:rPr>
      </w:pPr>
      <w:r w:rsidRPr="008D3F9C">
        <w:rPr>
          <w:rFonts w:ascii="Arial" w:hAnsi="Arial" w:cs="Arial"/>
          <w:b/>
          <w:color w:val="1F3864" w:themeColor="accent5" w:themeShade="80"/>
          <w:sz w:val="48"/>
          <w:szCs w:val="48"/>
        </w:rPr>
        <w:t>Lanreath Parish Council</w:t>
      </w:r>
    </w:p>
    <w:tbl>
      <w:tblPr>
        <w:tblStyle w:val="TableGrid"/>
        <w:tblpPr w:leftFromText="180" w:rightFromText="180" w:vertAnchor="text" w:tblpY="5078"/>
        <w:tblW w:w="9351" w:type="dxa"/>
        <w:tblLook w:val="04A0" w:firstRow="1" w:lastRow="0" w:firstColumn="1" w:lastColumn="0" w:noHBand="0" w:noVBand="1"/>
        <w:tblCaption w:val="Version History"/>
        <w:tblDescription w:val="Version numbers and the dates proposed, reviewed and approved. Last Vesrion, Vesrion 3 approved 18th May 2021."/>
      </w:tblPr>
      <w:tblGrid>
        <w:gridCol w:w="1980"/>
        <w:gridCol w:w="2410"/>
        <w:gridCol w:w="2439"/>
        <w:gridCol w:w="2522"/>
      </w:tblGrid>
      <w:tr w:rsidR="00BE4102" w:rsidRPr="00427C4C" w:rsidTr="00430E4E">
        <w:trPr>
          <w:tblHeader/>
        </w:trPr>
        <w:tc>
          <w:tcPr>
            <w:tcW w:w="1980" w:type="dxa"/>
          </w:tcPr>
          <w:p w:rsidR="00BE4102" w:rsidRDefault="00BE4102" w:rsidP="00BE4102">
            <w:pPr>
              <w:rPr>
                <w:rFonts w:ascii="Arial" w:hAnsi="Arial" w:cs="Arial"/>
                <w:color w:val="7F7F7F" w:themeColor="text1" w:themeTint="80"/>
                <w:sz w:val="24"/>
                <w:szCs w:val="24"/>
              </w:rPr>
            </w:pPr>
            <w:r w:rsidRPr="00427C4C">
              <w:rPr>
                <w:rFonts w:ascii="Arial" w:hAnsi="Arial" w:cs="Arial"/>
                <w:color w:val="3B3838" w:themeColor="background2" w:themeShade="40"/>
                <w:sz w:val="24"/>
                <w:szCs w:val="24"/>
              </w:rPr>
              <w:t>Version Number</w:t>
            </w:r>
          </w:p>
        </w:tc>
        <w:tc>
          <w:tcPr>
            <w:tcW w:w="2410" w:type="dxa"/>
          </w:tcPr>
          <w:p w:rsidR="00BE4102" w:rsidRPr="00427C4C" w:rsidRDefault="00BE4102" w:rsidP="00BE4102">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 Proposed</w:t>
            </w:r>
          </w:p>
        </w:tc>
        <w:tc>
          <w:tcPr>
            <w:tcW w:w="2439" w:type="dxa"/>
          </w:tcPr>
          <w:p w:rsidR="00BE4102" w:rsidRPr="00427C4C" w:rsidRDefault="00BE4102" w:rsidP="00BE4102">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 Reviewed</w:t>
            </w:r>
          </w:p>
        </w:tc>
        <w:tc>
          <w:tcPr>
            <w:tcW w:w="2522" w:type="dxa"/>
          </w:tcPr>
          <w:p w:rsidR="00BE4102" w:rsidRPr="00427C4C" w:rsidRDefault="00BE4102" w:rsidP="00BE4102">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 Approved</w:t>
            </w:r>
          </w:p>
        </w:tc>
      </w:tr>
      <w:tr w:rsidR="00BE4102" w:rsidTr="00430E4E">
        <w:tc>
          <w:tcPr>
            <w:tcW w:w="1980" w:type="dxa"/>
          </w:tcPr>
          <w:p w:rsidR="00BE4102" w:rsidRDefault="00BE4102" w:rsidP="00BE4102">
            <w:pPr>
              <w:rPr>
                <w:rFonts w:ascii="Arial" w:hAnsi="Arial" w:cs="Arial"/>
                <w:color w:val="7F7F7F" w:themeColor="text1" w:themeTint="80"/>
                <w:sz w:val="24"/>
                <w:szCs w:val="24"/>
              </w:rPr>
            </w:pPr>
            <w:r>
              <w:rPr>
                <w:rFonts w:ascii="Arial" w:hAnsi="Arial" w:cs="Arial"/>
                <w:color w:val="7F7F7F" w:themeColor="text1" w:themeTint="80"/>
                <w:sz w:val="24"/>
                <w:szCs w:val="24"/>
              </w:rPr>
              <w:t>1</w:t>
            </w:r>
          </w:p>
        </w:tc>
        <w:tc>
          <w:tcPr>
            <w:tcW w:w="2410" w:type="dxa"/>
          </w:tcPr>
          <w:p w:rsidR="00BE4102" w:rsidRDefault="00150F86" w:rsidP="00150F86">
            <w:pPr>
              <w:rPr>
                <w:rFonts w:ascii="Arial" w:hAnsi="Arial" w:cs="Arial"/>
                <w:color w:val="7F7F7F" w:themeColor="text1" w:themeTint="80"/>
                <w:sz w:val="24"/>
                <w:szCs w:val="24"/>
              </w:rPr>
            </w:pPr>
            <w:r>
              <w:rPr>
                <w:rFonts w:ascii="Arial" w:hAnsi="Arial" w:cs="Arial"/>
                <w:color w:val="7F7F7F" w:themeColor="text1" w:themeTint="80"/>
                <w:sz w:val="24"/>
                <w:szCs w:val="24"/>
              </w:rPr>
              <w:t>21</w:t>
            </w:r>
            <w:r w:rsidRPr="00150F86">
              <w:rPr>
                <w:rFonts w:ascii="Arial" w:hAnsi="Arial" w:cs="Arial"/>
                <w:color w:val="7F7F7F" w:themeColor="text1" w:themeTint="80"/>
                <w:sz w:val="24"/>
                <w:szCs w:val="24"/>
                <w:vertAlign w:val="superscript"/>
              </w:rPr>
              <w:t>st</w:t>
            </w:r>
            <w:r>
              <w:rPr>
                <w:rFonts w:ascii="Arial" w:hAnsi="Arial" w:cs="Arial"/>
                <w:color w:val="7F7F7F" w:themeColor="text1" w:themeTint="80"/>
                <w:sz w:val="24"/>
                <w:szCs w:val="24"/>
              </w:rPr>
              <w:t xml:space="preserve"> November 2023</w:t>
            </w:r>
          </w:p>
        </w:tc>
        <w:tc>
          <w:tcPr>
            <w:tcW w:w="2439" w:type="dxa"/>
          </w:tcPr>
          <w:p w:rsidR="00BE4102" w:rsidRDefault="00430E4E" w:rsidP="00BE4102">
            <w:pPr>
              <w:rPr>
                <w:rFonts w:ascii="Arial" w:hAnsi="Arial" w:cs="Arial"/>
                <w:color w:val="7F7F7F" w:themeColor="text1" w:themeTint="80"/>
                <w:sz w:val="24"/>
                <w:szCs w:val="24"/>
              </w:rPr>
            </w:pPr>
            <w:r>
              <w:rPr>
                <w:rFonts w:ascii="Arial" w:hAnsi="Arial" w:cs="Arial"/>
                <w:color w:val="7F7F7F" w:themeColor="text1" w:themeTint="80"/>
                <w:sz w:val="24"/>
                <w:szCs w:val="24"/>
              </w:rPr>
              <w:t>21</w:t>
            </w:r>
            <w:r w:rsidRPr="00430E4E">
              <w:rPr>
                <w:rFonts w:ascii="Arial" w:hAnsi="Arial" w:cs="Arial"/>
                <w:color w:val="7F7F7F" w:themeColor="text1" w:themeTint="80"/>
                <w:sz w:val="24"/>
                <w:szCs w:val="24"/>
                <w:vertAlign w:val="superscript"/>
              </w:rPr>
              <w:t>st</w:t>
            </w:r>
            <w:r>
              <w:rPr>
                <w:rFonts w:ascii="Arial" w:hAnsi="Arial" w:cs="Arial"/>
                <w:color w:val="7F7F7F" w:themeColor="text1" w:themeTint="80"/>
                <w:sz w:val="24"/>
                <w:szCs w:val="24"/>
              </w:rPr>
              <w:t xml:space="preserve"> November 2023</w:t>
            </w:r>
          </w:p>
        </w:tc>
        <w:tc>
          <w:tcPr>
            <w:tcW w:w="2522" w:type="dxa"/>
          </w:tcPr>
          <w:p w:rsidR="00BE4102" w:rsidRDefault="00430E4E" w:rsidP="00BE4102">
            <w:pPr>
              <w:rPr>
                <w:rFonts w:ascii="Arial" w:hAnsi="Arial" w:cs="Arial"/>
                <w:color w:val="7F7F7F" w:themeColor="text1" w:themeTint="80"/>
                <w:sz w:val="24"/>
                <w:szCs w:val="24"/>
              </w:rPr>
            </w:pPr>
            <w:r>
              <w:rPr>
                <w:rFonts w:ascii="Arial" w:hAnsi="Arial" w:cs="Arial"/>
                <w:color w:val="7F7F7F" w:themeColor="text1" w:themeTint="80"/>
                <w:sz w:val="24"/>
                <w:szCs w:val="24"/>
              </w:rPr>
              <w:t>21</w:t>
            </w:r>
            <w:r w:rsidRPr="00430E4E">
              <w:rPr>
                <w:rFonts w:ascii="Arial" w:hAnsi="Arial" w:cs="Arial"/>
                <w:color w:val="7F7F7F" w:themeColor="text1" w:themeTint="80"/>
                <w:sz w:val="24"/>
                <w:szCs w:val="24"/>
                <w:vertAlign w:val="superscript"/>
              </w:rPr>
              <w:t>st</w:t>
            </w:r>
            <w:r>
              <w:rPr>
                <w:rFonts w:ascii="Arial" w:hAnsi="Arial" w:cs="Arial"/>
                <w:color w:val="7F7F7F" w:themeColor="text1" w:themeTint="80"/>
                <w:sz w:val="24"/>
                <w:szCs w:val="24"/>
              </w:rPr>
              <w:t xml:space="preserve"> November 2023</w:t>
            </w:r>
          </w:p>
        </w:tc>
      </w:tr>
      <w:tr w:rsidR="00BE4102" w:rsidTr="00430E4E">
        <w:tc>
          <w:tcPr>
            <w:tcW w:w="1980" w:type="dxa"/>
          </w:tcPr>
          <w:p w:rsidR="00BE4102" w:rsidRPr="002D4575" w:rsidRDefault="00BE4102" w:rsidP="00BE4102">
            <w:pPr>
              <w:rPr>
                <w:rFonts w:ascii="Arial" w:hAnsi="Arial" w:cs="Arial"/>
                <w:color w:val="808080" w:themeColor="background1" w:themeShade="80"/>
                <w:sz w:val="24"/>
                <w:szCs w:val="24"/>
              </w:rPr>
            </w:pPr>
          </w:p>
        </w:tc>
        <w:tc>
          <w:tcPr>
            <w:tcW w:w="2410" w:type="dxa"/>
          </w:tcPr>
          <w:p w:rsidR="00BE4102" w:rsidRPr="002D4575" w:rsidRDefault="00BE4102" w:rsidP="00BE4102">
            <w:pPr>
              <w:rPr>
                <w:rFonts w:ascii="Arial" w:hAnsi="Arial" w:cs="Arial"/>
                <w:color w:val="808080" w:themeColor="background1" w:themeShade="80"/>
                <w:sz w:val="24"/>
                <w:szCs w:val="24"/>
              </w:rPr>
            </w:pPr>
          </w:p>
        </w:tc>
        <w:tc>
          <w:tcPr>
            <w:tcW w:w="2439" w:type="dxa"/>
          </w:tcPr>
          <w:p w:rsidR="00BE4102" w:rsidRPr="002D4575" w:rsidRDefault="00BE4102" w:rsidP="00BE4102">
            <w:pPr>
              <w:rPr>
                <w:rFonts w:ascii="Arial" w:hAnsi="Arial" w:cs="Arial"/>
                <w:color w:val="808080" w:themeColor="background1" w:themeShade="80"/>
                <w:sz w:val="24"/>
                <w:szCs w:val="24"/>
              </w:rPr>
            </w:pPr>
          </w:p>
        </w:tc>
        <w:tc>
          <w:tcPr>
            <w:tcW w:w="2522" w:type="dxa"/>
          </w:tcPr>
          <w:p w:rsidR="00BE4102" w:rsidRPr="002D4575" w:rsidRDefault="00BE4102" w:rsidP="00BE4102">
            <w:pPr>
              <w:rPr>
                <w:rFonts w:ascii="Arial" w:hAnsi="Arial" w:cs="Arial"/>
                <w:color w:val="808080" w:themeColor="background1" w:themeShade="80"/>
                <w:sz w:val="24"/>
                <w:szCs w:val="24"/>
              </w:rPr>
            </w:pPr>
          </w:p>
        </w:tc>
      </w:tr>
      <w:tr w:rsidR="00BE4102" w:rsidTr="00430E4E">
        <w:tc>
          <w:tcPr>
            <w:tcW w:w="1980" w:type="dxa"/>
          </w:tcPr>
          <w:p w:rsidR="00BE4102" w:rsidRPr="002D4575" w:rsidRDefault="00BE4102" w:rsidP="00BE4102">
            <w:pPr>
              <w:rPr>
                <w:rFonts w:ascii="Arial" w:hAnsi="Arial" w:cs="Arial"/>
                <w:color w:val="808080" w:themeColor="background1" w:themeShade="80"/>
                <w:sz w:val="24"/>
                <w:szCs w:val="24"/>
              </w:rPr>
            </w:pPr>
          </w:p>
        </w:tc>
        <w:tc>
          <w:tcPr>
            <w:tcW w:w="2410" w:type="dxa"/>
          </w:tcPr>
          <w:p w:rsidR="00BE4102" w:rsidRPr="002D4575" w:rsidRDefault="00BE4102" w:rsidP="00BE4102">
            <w:pPr>
              <w:rPr>
                <w:rFonts w:ascii="Arial" w:hAnsi="Arial" w:cs="Arial"/>
                <w:color w:val="808080" w:themeColor="background1" w:themeShade="80"/>
                <w:sz w:val="24"/>
                <w:szCs w:val="24"/>
              </w:rPr>
            </w:pPr>
          </w:p>
        </w:tc>
        <w:tc>
          <w:tcPr>
            <w:tcW w:w="2439" w:type="dxa"/>
          </w:tcPr>
          <w:p w:rsidR="00BE4102" w:rsidRPr="002D4575" w:rsidRDefault="00BE4102" w:rsidP="00BE4102">
            <w:pPr>
              <w:rPr>
                <w:rFonts w:ascii="Arial" w:hAnsi="Arial" w:cs="Arial"/>
                <w:color w:val="808080" w:themeColor="background1" w:themeShade="80"/>
                <w:sz w:val="24"/>
                <w:szCs w:val="24"/>
              </w:rPr>
            </w:pPr>
          </w:p>
        </w:tc>
        <w:tc>
          <w:tcPr>
            <w:tcW w:w="2522" w:type="dxa"/>
          </w:tcPr>
          <w:p w:rsidR="00BE4102" w:rsidRPr="002D4575" w:rsidRDefault="00BE4102" w:rsidP="00BE4102">
            <w:pPr>
              <w:rPr>
                <w:rFonts w:ascii="Arial" w:hAnsi="Arial" w:cs="Arial"/>
                <w:color w:val="808080" w:themeColor="background1" w:themeShade="80"/>
                <w:sz w:val="24"/>
                <w:szCs w:val="24"/>
              </w:rPr>
            </w:pPr>
          </w:p>
        </w:tc>
      </w:tr>
      <w:tr w:rsidR="00BE4102" w:rsidTr="00430E4E">
        <w:tc>
          <w:tcPr>
            <w:tcW w:w="1980" w:type="dxa"/>
          </w:tcPr>
          <w:p w:rsidR="00BE4102" w:rsidRDefault="00BE4102" w:rsidP="00BE4102">
            <w:pPr>
              <w:rPr>
                <w:rFonts w:ascii="Arial" w:hAnsi="Arial" w:cs="Arial"/>
                <w:color w:val="808080" w:themeColor="background1" w:themeShade="80"/>
                <w:sz w:val="24"/>
                <w:szCs w:val="24"/>
              </w:rPr>
            </w:pPr>
          </w:p>
        </w:tc>
        <w:tc>
          <w:tcPr>
            <w:tcW w:w="2410" w:type="dxa"/>
          </w:tcPr>
          <w:p w:rsidR="00BE4102" w:rsidRDefault="00BE4102" w:rsidP="00BE4102">
            <w:pPr>
              <w:rPr>
                <w:rFonts w:ascii="Arial" w:hAnsi="Arial" w:cs="Arial"/>
                <w:color w:val="808080" w:themeColor="background1" w:themeShade="80"/>
                <w:sz w:val="24"/>
                <w:szCs w:val="24"/>
              </w:rPr>
            </w:pPr>
          </w:p>
        </w:tc>
        <w:tc>
          <w:tcPr>
            <w:tcW w:w="2439" w:type="dxa"/>
          </w:tcPr>
          <w:p w:rsidR="00BE4102" w:rsidRDefault="00BE4102" w:rsidP="00BE4102">
            <w:pPr>
              <w:rPr>
                <w:rFonts w:ascii="Arial" w:hAnsi="Arial" w:cs="Arial"/>
                <w:color w:val="808080" w:themeColor="background1" w:themeShade="80"/>
                <w:sz w:val="24"/>
                <w:szCs w:val="24"/>
              </w:rPr>
            </w:pPr>
          </w:p>
        </w:tc>
        <w:tc>
          <w:tcPr>
            <w:tcW w:w="2522" w:type="dxa"/>
          </w:tcPr>
          <w:p w:rsidR="00BE4102" w:rsidRDefault="00BE4102" w:rsidP="00BE4102">
            <w:pPr>
              <w:rPr>
                <w:rFonts w:ascii="Arial" w:hAnsi="Arial" w:cs="Arial"/>
                <w:color w:val="808080" w:themeColor="background1" w:themeShade="80"/>
                <w:sz w:val="24"/>
                <w:szCs w:val="24"/>
              </w:rPr>
            </w:pPr>
          </w:p>
        </w:tc>
      </w:tr>
      <w:tr w:rsidR="00BE4102" w:rsidTr="00430E4E">
        <w:tc>
          <w:tcPr>
            <w:tcW w:w="1980" w:type="dxa"/>
          </w:tcPr>
          <w:p w:rsidR="00BE4102" w:rsidRPr="007A3E53" w:rsidRDefault="00BE4102" w:rsidP="00BE4102">
            <w:pPr>
              <w:rPr>
                <w:rFonts w:ascii="Arial" w:hAnsi="Arial" w:cs="Arial"/>
                <w:color w:val="1F4E79" w:themeColor="accent1" w:themeShade="80"/>
                <w:sz w:val="24"/>
                <w:szCs w:val="24"/>
              </w:rPr>
            </w:pPr>
          </w:p>
        </w:tc>
        <w:tc>
          <w:tcPr>
            <w:tcW w:w="2410" w:type="dxa"/>
          </w:tcPr>
          <w:p w:rsidR="00BE4102" w:rsidRPr="007A3E53" w:rsidRDefault="00BE4102" w:rsidP="00BE4102">
            <w:pPr>
              <w:rPr>
                <w:rFonts w:ascii="Arial" w:hAnsi="Arial" w:cs="Arial"/>
                <w:color w:val="1F4E79" w:themeColor="accent1" w:themeShade="80"/>
                <w:sz w:val="24"/>
                <w:szCs w:val="24"/>
              </w:rPr>
            </w:pPr>
          </w:p>
        </w:tc>
        <w:tc>
          <w:tcPr>
            <w:tcW w:w="2439" w:type="dxa"/>
          </w:tcPr>
          <w:p w:rsidR="00BE4102" w:rsidRPr="007A3E53" w:rsidRDefault="00BE4102" w:rsidP="00BE4102">
            <w:pPr>
              <w:rPr>
                <w:rFonts w:ascii="Arial" w:hAnsi="Arial" w:cs="Arial"/>
                <w:color w:val="1F4E79" w:themeColor="accent1" w:themeShade="80"/>
                <w:sz w:val="24"/>
                <w:szCs w:val="24"/>
              </w:rPr>
            </w:pPr>
          </w:p>
        </w:tc>
        <w:tc>
          <w:tcPr>
            <w:tcW w:w="2522" w:type="dxa"/>
          </w:tcPr>
          <w:p w:rsidR="00BE4102" w:rsidRPr="007A3E53" w:rsidRDefault="00BE4102" w:rsidP="00BE4102">
            <w:pPr>
              <w:rPr>
                <w:rFonts w:ascii="Arial" w:hAnsi="Arial" w:cs="Arial"/>
                <w:color w:val="1F4E79" w:themeColor="accent1" w:themeShade="80"/>
                <w:sz w:val="24"/>
                <w:szCs w:val="24"/>
              </w:rPr>
            </w:pPr>
          </w:p>
        </w:tc>
      </w:tr>
      <w:tr w:rsidR="00D8324A" w:rsidTr="00430E4E">
        <w:tc>
          <w:tcPr>
            <w:tcW w:w="1980" w:type="dxa"/>
          </w:tcPr>
          <w:p w:rsidR="00D8324A" w:rsidRPr="007A3E53" w:rsidRDefault="00D8324A" w:rsidP="00BE4102">
            <w:pPr>
              <w:rPr>
                <w:rFonts w:ascii="Arial" w:hAnsi="Arial" w:cs="Arial"/>
                <w:color w:val="1F4E79" w:themeColor="accent1" w:themeShade="80"/>
                <w:sz w:val="24"/>
                <w:szCs w:val="24"/>
              </w:rPr>
            </w:pPr>
          </w:p>
        </w:tc>
        <w:tc>
          <w:tcPr>
            <w:tcW w:w="2410" w:type="dxa"/>
          </w:tcPr>
          <w:p w:rsidR="00D8324A" w:rsidRPr="007A3E53" w:rsidRDefault="00D8324A" w:rsidP="00BE4102">
            <w:pPr>
              <w:rPr>
                <w:rFonts w:ascii="Arial" w:hAnsi="Arial" w:cs="Arial"/>
                <w:color w:val="1F4E79" w:themeColor="accent1" w:themeShade="80"/>
                <w:sz w:val="24"/>
                <w:szCs w:val="24"/>
              </w:rPr>
            </w:pPr>
          </w:p>
        </w:tc>
        <w:tc>
          <w:tcPr>
            <w:tcW w:w="2439" w:type="dxa"/>
          </w:tcPr>
          <w:p w:rsidR="00D8324A" w:rsidRPr="007A3E53" w:rsidRDefault="00D8324A" w:rsidP="00BE4102">
            <w:pPr>
              <w:rPr>
                <w:rFonts w:ascii="Arial" w:hAnsi="Arial" w:cs="Arial"/>
                <w:color w:val="1F4E79" w:themeColor="accent1" w:themeShade="80"/>
                <w:sz w:val="24"/>
                <w:szCs w:val="24"/>
              </w:rPr>
            </w:pPr>
          </w:p>
        </w:tc>
        <w:tc>
          <w:tcPr>
            <w:tcW w:w="2522" w:type="dxa"/>
          </w:tcPr>
          <w:p w:rsidR="00D8324A" w:rsidRPr="007A3E53" w:rsidRDefault="00D8324A" w:rsidP="00BE4102">
            <w:pPr>
              <w:rPr>
                <w:rFonts w:ascii="Arial" w:hAnsi="Arial" w:cs="Arial"/>
                <w:color w:val="1F4E79" w:themeColor="accent1" w:themeShade="80"/>
                <w:sz w:val="24"/>
                <w:szCs w:val="24"/>
              </w:rPr>
            </w:pPr>
          </w:p>
        </w:tc>
      </w:tr>
    </w:tbl>
    <w:p w:rsidR="00073331" w:rsidRDefault="002858D6" w:rsidP="009E0FF8">
      <w:pPr>
        <w:spacing w:after="5040"/>
        <w:jc w:val="center"/>
      </w:pPr>
      <w:r>
        <w:rPr>
          <w:rFonts w:ascii="Arial" w:hAnsi="Arial" w:cs="Arial"/>
          <w:b/>
          <w:color w:val="1F3864" w:themeColor="accent5" w:themeShade="80"/>
          <w:sz w:val="48"/>
          <w:szCs w:val="48"/>
        </w:rPr>
        <w:t>Reserves Policy</w:t>
      </w:r>
    </w:p>
    <w:p w:rsidR="00E60408" w:rsidRDefault="00E60408" w:rsidP="00E60408"/>
    <w:sdt>
      <w:sdtPr>
        <w:rPr>
          <w:rFonts w:asciiTheme="minorHAnsi" w:eastAsiaTheme="minorHAnsi" w:hAnsiTheme="minorHAnsi" w:cstheme="minorBidi"/>
          <w:color w:val="auto"/>
          <w:sz w:val="22"/>
          <w:szCs w:val="22"/>
        </w:rPr>
        <w:id w:val="-469372404"/>
        <w:docPartObj>
          <w:docPartGallery w:val="Table of Contents"/>
          <w:docPartUnique/>
        </w:docPartObj>
      </w:sdtPr>
      <w:sdtEndPr>
        <w:rPr>
          <w:b/>
          <w:bCs/>
          <w:noProof/>
        </w:rPr>
      </w:sdtEndPr>
      <w:sdtContent>
        <w:p w:rsidR="00D40FCC" w:rsidRPr="00150F86" w:rsidRDefault="00D40FCC">
          <w:pPr>
            <w:pStyle w:val="TOCHeading"/>
            <w:rPr>
              <w:b/>
            </w:rPr>
          </w:pPr>
          <w:r w:rsidRPr="00150F86">
            <w:rPr>
              <w:b/>
            </w:rPr>
            <w:t>Contents</w:t>
          </w:r>
        </w:p>
        <w:p w:rsidR="00150F86" w:rsidRPr="00150F86" w:rsidRDefault="00D40FCC">
          <w:pPr>
            <w:pStyle w:val="TOC1"/>
            <w:tabs>
              <w:tab w:val="left" w:pos="440"/>
              <w:tab w:val="right" w:leader="dot" w:pos="9350"/>
            </w:tabs>
            <w:rPr>
              <w:rFonts w:eastAsiaTheme="minorEastAsia"/>
              <w:noProof/>
              <w:color w:val="000000" w:themeColor="text1"/>
              <w:lang w:val="en-GB" w:eastAsia="en-GB"/>
            </w:rPr>
          </w:pPr>
          <w:r w:rsidRPr="00150F86">
            <w:rPr>
              <w:color w:val="000000" w:themeColor="text1"/>
            </w:rPr>
            <w:fldChar w:fldCharType="begin"/>
          </w:r>
          <w:r w:rsidRPr="00150F86">
            <w:rPr>
              <w:color w:val="000000" w:themeColor="text1"/>
            </w:rPr>
            <w:instrText xml:space="preserve"> TOC \o "1-3" \h \z \u </w:instrText>
          </w:r>
          <w:r w:rsidRPr="00150F86">
            <w:rPr>
              <w:color w:val="000000" w:themeColor="text1"/>
            </w:rPr>
            <w:fldChar w:fldCharType="separate"/>
          </w:r>
          <w:hyperlink w:anchor="_Toc149748304" w:history="1">
            <w:r w:rsidR="00150F86" w:rsidRPr="00150F86">
              <w:rPr>
                <w:rStyle w:val="Hyperlink"/>
                <w:rFonts w:ascii="Arial" w:hAnsi="Arial" w:cs="Arial"/>
                <w:b/>
                <w:noProof/>
                <w:color w:val="000000" w:themeColor="text1"/>
              </w:rPr>
              <w:t>1.</w:t>
            </w:r>
            <w:r w:rsidR="00150F86" w:rsidRPr="00150F86">
              <w:rPr>
                <w:rFonts w:eastAsiaTheme="minorEastAsia"/>
                <w:noProof/>
                <w:color w:val="000000" w:themeColor="text1"/>
                <w:lang w:val="en-GB" w:eastAsia="en-GB"/>
              </w:rPr>
              <w:tab/>
            </w:r>
            <w:r w:rsidR="00150F86" w:rsidRPr="00150F86">
              <w:rPr>
                <w:rStyle w:val="Hyperlink"/>
                <w:rFonts w:ascii="Arial" w:hAnsi="Arial" w:cs="Arial"/>
                <w:b/>
                <w:noProof/>
                <w:color w:val="000000" w:themeColor="text1"/>
              </w:rPr>
              <w:t>Introduction</w:t>
            </w:r>
            <w:r w:rsidR="00150F86" w:rsidRPr="00150F86">
              <w:rPr>
                <w:noProof/>
                <w:webHidden/>
                <w:color w:val="000000" w:themeColor="text1"/>
              </w:rPr>
              <w:tab/>
            </w:r>
            <w:r w:rsidR="00150F86" w:rsidRPr="00150F86">
              <w:rPr>
                <w:noProof/>
                <w:webHidden/>
                <w:color w:val="000000" w:themeColor="text1"/>
              </w:rPr>
              <w:fldChar w:fldCharType="begin"/>
            </w:r>
            <w:r w:rsidR="00150F86" w:rsidRPr="00150F86">
              <w:rPr>
                <w:noProof/>
                <w:webHidden/>
                <w:color w:val="000000" w:themeColor="text1"/>
              </w:rPr>
              <w:instrText xml:space="preserve"> PAGEREF _Toc149748304 \h </w:instrText>
            </w:r>
            <w:r w:rsidR="00150F86" w:rsidRPr="00150F86">
              <w:rPr>
                <w:noProof/>
                <w:webHidden/>
                <w:color w:val="000000" w:themeColor="text1"/>
              </w:rPr>
            </w:r>
            <w:r w:rsidR="00150F86" w:rsidRPr="00150F86">
              <w:rPr>
                <w:noProof/>
                <w:webHidden/>
                <w:color w:val="000000" w:themeColor="text1"/>
              </w:rPr>
              <w:fldChar w:fldCharType="separate"/>
            </w:r>
            <w:r w:rsidR="00150F86" w:rsidRPr="00150F86">
              <w:rPr>
                <w:noProof/>
                <w:webHidden/>
                <w:color w:val="000000" w:themeColor="text1"/>
              </w:rPr>
              <w:t>1</w:t>
            </w:r>
            <w:r w:rsidR="00150F86" w:rsidRPr="00150F86">
              <w:rPr>
                <w:noProof/>
                <w:webHidden/>
                <w:color w:val="000000" w:themeColor="text1"/>
              </w:rPr>
              <w:fldChar w:fldCharType="end"/>
            </w:r>
          </w:hyperlink>
        </w:p>
        <w:p w:rsidR="00150F86" w:rsidRPr="00150F86" w:rsidRDefault="00064AC9">
          <w:pPr>
            <w:pStyle w:val="TOC1"/>
            <w:tabs>
              <w:tab w:val="left" w:pos="440"/>
              <w:tab w:val="right" w:leader="dot" w:pos="9350"/>
            </w:tabs>
            <w:rPr>
              <w:rFonts w:eastAsiaTheme="minorEastAsia"/>
              <w:noProof/>
              <w:color w:val="000000" w:themeColor="text1"/>
              <w:lang w:val="en-GB" w:eastAsia="en-GB"/>
            </w:rPr>
          </w:pPr>
          <w:hyperlink w:anchor="_Toc149748305" w:history="1">
            <w:r w:rsidR="00150F86" w:rsidRPr="00150F86">
              <w:rPr>
                <w:rStyle w:val="Hyperlink"/>
                <w:rFonts w:ascii="Arial" w:hAnsi="Arial" w:cs="Arial"/>
                <w:b/>
                <w:noProof/>
                <w:color w:val="000000" w:themeColor="text1"/>
              </w:rPr>
              <w:t>2.</w:t>
            </w:r>
            <w:r w:rsidR="00150F86" w:rsidRPr="00150F86">
              <w:rPr>
                <w:rFonts w:eastAsiaTheme="minorEastAsia"/>
                <w:noProof/>
                <w:color w:val="000000" w:themeColor="text1"/>
                <w:lang w:val="en-GB" w:eastAsia="en-GB"/>
              </w:rPr>
              <w:tab/>
            </w:r>
            <w:r w:rsidR="00150F86" w:rsidRPr="00150F86">
              <w:rPr>
                <w:rStyle w:val="Hyperlink"/>
                <w:rFonts w:ascii="Arial" w:hAnsi="Arial" w:cs="Arial"/>
                <w:b/>
                <w:noProof/>
                <w:color w:val="000000" w:themeColor="text1"/>
              </w:rPr>
              <w:t>General Reserves</w:t>
            </w:r>
            <w:r w:rsidR="00150F86" w:rsidRPr="00150F86">
              <w:rPr>
                <w:noProof/>
                <w:webHidden/>
                <w:color w:val="000000" w:themeColor="text1"/>
              </w:rPr>
              <w:tab/>
            </w:r>
            <w:r w:rsidR="00150F86" w:rsidRPr="00150F86">
              <w:rPr>
                <w:noProof/>
                <w:webHidden/>
                <w:color w:val="000000" w:themeColor="text1"/>
              </w:rPr>
              <w:fldChar w:fldCharType="begin"/>
            </w:r>
            <w:r w:rsidR="00150F86" w:rsidRPr="00150F86">
              <w:rPr>
                <w:noProof/>
                <w:webHidden/>
                <w:color w:val="000000" w:themeColor="text1"/>
              </w:rPr>
              <w:instrText xml:space="preserve"> PAGEREF _Toc149748305 \h </w:instrText>
            </w:r>
            <w:r w:rsidR="00150F86" w:rsidRPr="00150F86">
              <w:rPr>
                <w:noProof/>
                <w:webHidden/>
                <w:color w:val="000000" w:themeColor="text1"/>
              </w:rPr>
            </w:r>
            <w:r w:rsidR="00150F86" w:rsidRPr="00150F86">
              <w:rPr>
                <w:noProof/>
                <w:webHidden/>
                <w:color w:val="000000" w:themeColor="text1"/>
              </w:rPr>
              <w:fldChar w:fldCharType="separate"/>
            </w:r>
            <w:r w:rsidR="00150F86" w:rsidRPr="00150F86">
              <w:rPr>
                <w:noProof/>
                <w:webHidden/>
                <w:color w:val="000000" w:themeColor="text1"/>
              </w:rPr>
              <w:t>1</w:t>
            </w:r>
            <w:r w:rsidR="00150F86" w:rsidRPr="00150F86">
              <w:rPr>
                <w:noProof/>
                <w:webHidden/>
                <w:color w:val="000000" w:themeColor="text1"/>
              </w:rPr>
              <w:fldChar w:fldCharType="end"/>
            </w:r>
          </w:hyperlink>
        </w:p>
        <w:p w:rsidR="00150F86" w:rsidRPr="00150F86" w:rsidRDefault="00064AC9">
          <w:pPr>
            <w:pStyle w:val="TOC1"/>
            <w:tabs>
              <w:tab w:val="left" w:pos="440"/>
              <w:tab w:val="right" w:leader="dot" w:pos="9350"/>
            </w:tabs>
            <w:rPr>
              <w:rFonts w:eastAsiaTheme="minorEastAsia"/>
              <w:noProof/>
              <w:color w:val="000000" w:themeColor="text1"/>
              <w:lang w:val="en-GB" w:eastAsia="en-GB"/>
            </w:rPr>
          </w:pPr>
          <w:hyperlink w:anchor="_Toc149748306" w:history="1">
            <w:r w:rsidR="00150F86" w:rsidRPr="00150F86">
              <w:rPr>
                <w:rStyle w:val="Hyperlink"/>
                <w:rFonts w:ascii="Arial" w:hAnsi="Arial" w:cs="Arial"/>
                <w:b/>
                <w:noProof/>
                <w:color w:val="000000" w:themeColor="text1"/>
              </w:rPr>
              <w:t>3.</w:t>
            </w:r>
            <w:r w:rsidR="00150F86" w:rsidRPr="00150F86">
              <w:rPr>
                <w:rFonts w:eastAsiaTheme="minorEastAsia"/>
                <w:noProof/>
                <w:color w:val="000000" w:themeColor="text1"/>
                <w:lang w:val="en-GB" w:eastAsia="en-GB"/>
              </w:rPr>
              <w:tab/>
            </w:r>
            <w:r w:rsidR="00150F86" w:rsidRPr="00150F86">
              <w:rPr>
                <w:rStyle w:val="Hyperlink"/>
                <w:rFonts w:ascii="Arial" w:hAnsi="Arial" w:cs="Arial"/>
                <w:b/>
                <w:noProof/>
                <w:color w:val="000000" w:themeColor="text1"/>
              </w:rPr>
              <w:t>Earmarked Reserves (EMRs)</w:t>
            </w:r>
            <w:r w:rsidR="00150F86" w:rsidRPr="00150F86">
              <w:rPr>
                <w:noProof/>
                <w:webHidden/>
                <w:color w:val="000000" w:themeColor="text1"/>
              </w:rPr>
              <w:tab/>
            </w:r>
            <w:r w:rsidR="00150F86" w:rsidRPr="00150F86">
              <w:rPr>
                <w:noProof/>
                <w:webHidden/>
                <w:color w:val="000000" w:themeColor="text1"/>
              </w:rPr>
              <w:fldChar w:fldCharType="begin"/>
            </w:r>
            <w:r w:rsidR="00150F86" w:rsidRPr="00150F86">
              <w:rPr>
                <w:noProof/>
                <w:webHidden/>
                <w:color w:val="000000" w:themeColor="text1"/>
              </w:rPr>
              <w:instrText xml:space="preserve"> PAGEREF _Toc149748306 \h </w:instrText>
            </w:r>
            <w:r w:rsidR="00150F86" w:rsidRPr="00150F86">
              <w:rPr>
                <w:noProof/>
                <w:webHidden/>
                <w:color w:val="000000" w:themeColor="text1"/>
              </w:rPr>
            </w:r>
            <w:r w:rsidR="00150F86" w:rsidRPr="00150F86">
              <w:rPr>
                <w:noProof/>
                <w:webHidden/>
                <w:color w:val="000000" w:themeColor="text1"/>
              </w:rPr>
              <w:fldChar w:fldCharType="separate"/>
            </w:r>
            <w:r w:rsidR="00150F86" w:rsidRPr="00150F86">
              <w:rPr>
                <w:noProof/>
                <w:webHidden/>
                <w:color w:val="000000" w:themeColor="text1"/>
              </w:rPr>
              <w:t>2</w:t>
            </w:r>
            <w:r w:rsidR="00150F86" w:rsidRPr="00150F86">
              <w:rPr>
                <w:noProof/>
                <w:webHidden/>
                <w:color w:val="000000" w:themeColor="text1"/>
              </w:rPr>
              <w:fldChar w:fldCharType="end"/>
            </w:r>
          </w:hyperlink>
        </w:p>
        <w:p w:rsidR="00150F86" w:rsidRPr="00150F86" w:rsidRDefault="00064AC9">
          <w:pPr>
            <w:pStyle w:val="TOC1"/>
            <w:tabs>
              <w:tab w:val="left" w:pos="440"/>
              <w:tab w:val="right" w:leader="dot" w:pos="9350"/>
            </w:tabs>
            <w:rPr>
              <w:rFonts w:eastAsiaTheme="minorEastAsia"/>
              <w:noProof/>
              <w:color w:val="000000" w:themeColor="text1"/>
              <w:lang w:val="en-GB" w:eastAsia="en-GB"/>
            </w:rPr>
          </w:pPr>
          <w:hyperlink w:anchor="_Toc149748307" w:history="1">
            <w:r w:rsidR="00150F86" w:rsidRPr="00150F86">
              <w:rPr>
                <w:rStyle w:val="Hyperlink"/>
                <w:rFonts w:ascii="Arial" w:hAnsi="Arial" w:cs="Arial"/>
                <w:b/>
                <w:noProof/>
                <w:color w:val="000000" w:themeColor="text1"/>
              </w:rPr>
              <w:t>4.</w:t>
            </w:r>
            <w:r w:rsidR="00150F86" w:rsidRPr="00150F86">
              <w:rPr>
                <w:rFonts w:eastAsiaTheme="minorEastAsia"/>
                <w:noProof/>
                <w:color w:val="000000" w:themeColor="text1"/>
                <w:lang w:val="en-GB" w:eastAsia="en-GB"/>
              </w:rPr>
              <w:tab/>
            </w:r>
            <w:r w:rsidR="00150F86" w:rsidRPr="00150F86">
              <w:rPr>
                <w:rStyle w:val="Hyperlink"/>
                <w:rFonts w:ascii="Arial" w:hAnsi="Arial" w:cs="Arial"/>
                <w:b/>
                <w:noProof/>
                <w:color w:val="000000" w:themeColor="text1"/>
              </w:rPr>
              <w:t>Current Level of Reserves</w:t>
            </w:r>
            <w:r w:rsidR="00150F86" w:rsidRPr="00150F86">
              <w:rPr>
                <w:noProof/>
                <w:webHidden/>
                <w:color w:val="000000" w:themeColor="text1"/>
              </w:rPr>
              <w:tab/>
            </w:r>
            <w:r w:rsidR="00150F86" w:rsidRPr="00150F86">
              <w:rPr>
                <w:noProof/>
                <w:webHidden/>
                <w:color w:val="000000" w:themeColor="text1"/>
              </w:rPr>
              <w:fldChar w:fldCharType="begin"/>
            </w:r>
            <w:r w:rsidR="00150F86" w:rsidRPr="00150F86">
              <w:rPr>
                <w:noProof/>
                <w:webHidden/>
                <w:color w:val="000000" w:themeColor="text1"/>
              </w:rPr>
              <w:instrText xml:space="preserve"> PAGEREF _Toc149748307 \h </w:instrText>
            </w:r>
            <w:r w:rsidR="00150F86" w:rsidRPr="00150F86">
              <w:rPr>
                <w:noProof/>
                <w:webHidden/>
                <w:color w:val="000000" w:themeColor="text1"/>
              </w:rPr>
            </w:r>
            <w:r w:rsidR="00150F86" w:rsidRPr="00150F86">
              <w:rPr>
                <w:noProof/>
                <w:webHidden/>
                <w:color w:val="000000" w:themeColor="text1"/>
              </w:rPr>
              <w:fldChar w:fldCharType="separate"/>
            </w:r>
            <w:r w:rsidR="00150F86" w:rsidRPr="00150F86">
              <w:rPr>
                <w:noProof/>
                <w:webHidden/>
                <w:color w:val="000000" w:themeColor="text1"/>
              </w:rPr>
              <w:t>3</w:t>
            </w:r>
            <w:r w:rsidR="00150F86" w:rsidRPr="00150F86">
              <w:rPr>
                <w:noProof/>
                <w:webHidden/>
                <w:color w:val="000000" w:themeColor="text1"/>
              </w:rPr>
              <w:fldChar w:fldCharType="end"/>
            </w:r>
          </w:hyperlink>
        </w:p>
        <w:p w:rsidR="00E60408" w:rsidRDefault="00D40FCC" w:rsidP="00E60408">
          <w:r w:rsidRPr="00150F86">
            <w:rPr>
              <w:b/>
              <w:bCs/>
              <w:noProof/>
              <w:color w:val="000000" w:themeColor="text1"/>
            </w:rPr>
            <w:fldChar w:fldCharType="end"/>
          </w:r>
        </w:p>
      </w:sdtContent>
    </w:sdt>
    <w:p w:rsidR="007D357C" w:rsidRDefault="007D357C" w:rsidP="007D357C">
      <w:pPr>
        <w:rPr>
          <w:rFonts w:ascii="Arial" w:hAnsi="Arial" w:cs="Arial"/>
          <w:sz w:val="24"/>
          <w:szCs w:val="24"/>
        </w:rPr>
        <w:sectPr w:rsidR="007D357C" w:rsidSect="00621F59">
          <w:pgSz w:w="12240" w:h="15840"/>
          <w:pgMar w:top="1440" w:right="1440" w:bottom="1440" w:left="1440" w:header="720" w:footer="720" w:gutter="0"/>
          <w:pgNumType w:start="1"/>
          <w:cols w:space="720"/>
          <w:docGrid w:linePitch="360"/>
        </w:sectPr>
      </w:pPr>
    </w:p>
    <w:p w:rsidR="002858D6" w:rsidRDefault="002858D6" w:rsidP="00C9646E">
      <w:pPr>
        <w:pStyle w:val="Heading1"/>
        <w:numPr>
          <w:ilvl w:val="0"/>
          <w:numId w:val="4"/>
        </w:numPr>
        <w:ind w:left="709" w:hanging="709"/>
        <w:jc w:val="both"/>
        <w:rPr>
          <w:rFonts w:ascii="Arial" w:hAnsi="Arial" w:cs="Arial"/>
          <w:b/>
          <w:sz w:val="24"/>
          <w:szCs w:val="24"/>
        </w:rPr>
      </w:pPr>
      <w:bookmarkStart w:id="0" w:name="_Toc149748304"/>
      <w:r w:rsidRPr="002858D6">
        <w:rPr>
          <w:rFonts w:ascii="Arial" w:hAnsi="Arial" w:cs="Arial"/>
          <w:b/>
          <w:sz w:val="24"/>
          <w:szCs w:val="24"/>
        </w:rPr>
        <w:lastRenderedPageBreak/>
        <w:t>Introduction</w:t>
      </w:r>
      <w:bookmarkEnd w:id="0"/>
    </w:p>
    <w:p w:rsidR="00C9646E" w:rsidRPr="00C9646E" w:rsidRDefault="00C9646E" w:rsidP="00C9646E">
      <w:pPr>
        <w:spacing w:after="0"/>
      </w:pPr>
    </w:p>
    <w:p w:rsidR="002858D6" w:rsidRP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 xml:space="preserve">Lanreath Parish Council is required to maintain adequate financial reserves to meet the needs of the </w:t>
      </w:r>
      <w:proofErr w:type="spellStart"/>
      <w:r w:rsidRPr="002858D6">
        <w:rPr>
          <w:rFonts w:ascii="Arial" w:hAnsi="Arial" w:cs="Arial"/>
          <w:color w:val="000000" w:themeColor="text1"/>
          <w:sz w:val="24"/>
          <w:szCs w:val="24"/>
        </w:rPr>
        <w:t>organisation</w:t>
      </w:r>
      <w:proofErr w:type="spellEnd"/>
      <w:r w:rsidRPr="002858D6">
        <w:rPr>
          <w:rFonts w:ascii="Arial" w:hAnsi="Arial" w:cs="Arial"/>
          <w:color w:val="000000" w:themeColor="text1"/>
          <w:sz w:val="24"/>
          <w:szCs w:val="24"/>
        </w:rPr>
        <w:t>.  The purpose of this policy is to set out how the Council will determine and review the level of reserves.</w:t>
      </w:r>
    </w:p>
    <w:p w:rsidR="002858D6" w:rsidRP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The Local Government Finance Act 1992 requires local authorities to have regard to the level of reserves needed for meeting estimated future expenditure when calculating the budget requirement.  However, legislation does not specify the minimum level of reserves that an authority should hold, meaning it is the responsibility of the Responsible Financial Officer to follow current best practice and advise the Council, whilst ensuring there are procedures to follow.</w:t>
      </w:r>
    </w:p>
    <w:p w:rsidR="002858D6" w:rsidRP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The Joint Panel on Accountability and Governance Practitioners Guide (JPAG) (March 2022 edition) advises: ‘As with any financial entity, it is essential that authorities have sufficient Reserves (General and Earmarked) to finance both their day-to-day operations and future plans.  Smaller authorities have no specific right to accumulate funds via the precept.  All reserves should be reviewed and justified regularly (i.e. at least annually).  It is good practice to transparently publish both the level and rationale of all reserves.’</w:t>
      </w:r>
    </w:p>
    <w:p w:rsidR="002858D6" w:rsidRP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Reserves fall into two categories – general or earmarked.</w:t>
      </w:r>
    </w:p>
    <w:p w:rsidR="002858D6" w:rsidRDefault="002858D6" w:rsidP="002858D6">
      <w:pPr>
        <w:pStyle w:val="Heading1"/>
        <w:numPr>
          <w:ilvl w:val="0"/>
          <w:numId w:val="2"/>
        </w:numPr>
        <w:ind w:hanging="720"/>
        <w:jc w:val="both"/>
        <w:rPr>
          <w:rFonts w:ascii="Arial" w:hAnsi="Arial" w:cs="Arial"/>
          <w:b/>
          <w:color w:val="2F5496" w:themeColor="accent5" w:themeShade="BF"/>
          <w:sz w:val="24"/>
          <w:szCs w:val="24"/>
        </w:rPr>
      </w:pPr>
      <w:bookmarkStart w:id="1" w:name="_Toc149748305"/>
      <w:r w:rsidRPr="002858D6">
        <w:rPr>
          <w:rFonts w:ascii="Arial" w:hAnsi="Arial" w:cs="Arial"/>
          <w:b/>
          <w:color w:val="2F5496" w:themeColor="accent5" w:themeShade="BF"/>
          <w:sz w:val="24"/>
          <w:szCs w:val="24"/>
        </w:rPr>
        <w:t>General Reserves</w:t>
      </w:r>
      <w:bookmarkEnd w:id="1"/>
    </w:p>
    <w:p w:rsidR="00C9646E" w:rsidRDefault="00C9646E" w:rsidP="00C9646E">
      <w:pPr>
        <w:spacing w:after="0"/>
        <w:ind w:left="709"/>
        <w:rPr>
          <w:rFonts w:ascii="Arial" w:hAnsi="Arial" w:cs="Arial"/>
          <w:color w:val="000000" w:themeColor="text1"/>
          <w:sz w:val="24"/>
          <w:szCs w:val="24"/>
        </w:rPr>
      </w:pPr>
    </w:p>
    <w:p w:rsid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These are funds which do not have any restrictions to their use.  These reserves can be used to smooth the impact of uneven cash flow, offset budget requirements if necessary or can be held in case of unexpected events or emergencies.</w:t>
      </w:r>
    </w:p>
    <w:p w:rsidR="002858D6" w:rsidRDefault="002858D6" w:rsidP="00C9646E">
      <w:pPr>
        <w:ind w:left="709"/>
        <w:rPr>
          <w:rFonts w:ascii="Arial" w:hAnsi="Arial" w:cs="Arial"/>
          <w:color w:val="000000" w:themeColor="text1"/>
          <w:sz w:val="24"/>
          <w:szCs w:val="24"/>
        </w:rPr>
      </w:pPr>
      <w:r>
        <w:rPr>
          <w:rFonts w:ascii="Arial" w:hAnsi="Arial" w:cs="Arial"/>
          <w:color w:val="000000" w:themeColor="text1"/>
          <w:sz w:val="24"/>
          <w:szCs w:val="24"/>
        </w:rPr>
        <w:t>J</w:t>
      </w:r>
      <w:r w:rsidRPr="002858D6">
        <w:rPr>
          <w:rFonts w:ascii="Arial" w:hAnsi="Arial" w:cs="Arial"/>
          <w:color w:val="000000" w:themeColor="text1"/>
          <w:sz w:val="24"/>
          <w:szCs w:val="24"/>
        </w:rPr>
        <w:t xml:space="preserve">PAG (March 2022 edition) advises that: ‘The generally accepted recommendation with regard to the appropriate minimum level of a Smaller Authority’s General Reserves is that this should be maintained at between three- and twelve-months Net Revenue Expenditure (NRE).  </w:t>
      </w:r>
    </w:p>
    <w:p w:rsid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The smaller the authority the closer the figure may be to 12 months. In all of this, it is important that each authority adopt, as a general reserve policy, the level appropriate to their size, situation, risks and plan their budget so as to ensure that the adopted level is maintained.’  NRE is effectively Precept less any Loan Repayments and/or amounts included in Precept for Capital Projects and transfers to Earmarked Reserves.</w:t>
      </w:r>
    </w:p>
    <w:p w:rsid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The primary means of building General Reserves will be through a reallocation of funds (underspend on projects) and allocation from the annual budget.  This will be in addition to any amounts needed to replenish reserves that have been consumed in the previous year.</w:t>
      </w:r>
      <w:bookmarkStart w:id="2" w:name="_GoBack"/>
      <w:bookmarkEnd w:id="2"/>
    </w:p>
    <w:p w:rsid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lastRenderedPageBreak/>
        <w:t>Setting the level of General Reserves is one of several related decisions in the formulation of the medium-term financial strategy and the annual budget.  The Council must build and maintain sufficient working balances to cover the key risks it faces, as expressed in its financial risk assessment.</w:t>
      </w:r>
    </w:p>
    <w:p w:rsidR="002858D6" w:rsidRP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If, in extreme circumstances, General Reserves were exhausted due to major unforeseen spending pressures within a particular financial year, the Council would be able to draw down from its Earmarked Reserves to provide short term resources.</w:t>
      </w:r>
    </w:p>
    <w:p w:rsidR="002858D6" w:rsidRDefault="002858D6" w:rsidP="002858D6">
      <w:pPr>
        <w:pStyle w:val="Heading1"/>
        <w:numPr>
          <w:ilvl w:val="0"/>
          <w:numId w:val="2"/>
        </w:numPr>
        <w:ind w:hanging="720"/>
        <w:jc w:val="both"/>
        <w:rPr>
          <w:rFonts w:ascii="Arial" w:hAnsi="Arial" w:cs="Arial"/>
          <w:b/>
          <w:color w:val="2F5496" w:themeColor="accent5" w:themeShade="BF"/>
          <w:sz w:val="24"/>
          <w:szCs w:val="24"/>
        </w:rPr>
      </w:pPr>
      <w:bookmarkStart w:id="3" w:name="_Toc149748306"/>
      <w:r w:rsidRPr="002858D6">
        <w:rPr>
          <w:rFonts w:ascii="Arial" w:hAnsi="Arial" w:cs="Arial"/>
          <w:b/>
          <w:color w:val="2F5496" w:themeColor="accent5" w:themeShade="BF"/>
          <w:sz w:val="24"/>
          <w:szCs w:val="24"/>
        </w:rPr>
        <w:t>Earmarked Reserves (EMRs)</w:t>
      </w:r>
      <w:bookmarkEnd w:id="3"/>
    </w:p>
    <w:p w:rsidR="00C9646E" w:rsidRPr="00C9646E" w:rsidRDefault="00C9646E" w:rsidP="00C9646E">
      <w:pPr>
        <w:spacing w:after="0"/>
      </w:pPr>
    </w:p>
    <w:p w:rsid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These can be held for several reasons.  The money is held for specific items of expenditure to meet known or predicted liabilities or projects.  Earmarked Reserves can be used to ‘smooth’ the effects of certain expenditure commitments over a period of time, thereby reducing the impact of significant expenditure in any one year.</w:t>
      </w:r>
    </w:p>
    <w:p w:rsid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Typically, they are held for the following reasons:</w:t>
      </w:r>
    </w:p>
    <w:p w:rsidR="002858D6" w:rsidRDefault="002858D6" w:rsidP="00C9646E">
      <w:pPr>
        <w:pStyle w:val="ListParagraph"/>
        <w:numPr>
          <w:ilvl w:val="0"/>
          <w:numId w:val="5"/>
        </w:numPr>
        <w:rPr>
          <w:rFonts w:ascii="Arial" w:hAnsi="Arial" w:cs="Arial"/>
          <w:color w:val="000000" w:themeColor="text1"/>
          <w:sz w:val="24"/>
          <w:szCs w:val="24"/>
        </w:rPr>
      </w:pPr>
      <w:r w:rsidRPr="00C9646E">
        <w:rPr>
          <w:rFonts w:ascii="Arial" w:hAnsi="Arial" w:cs="Arial"/>
          <w:color w:val="000000" w:themeColor="text1"/>
          <w:sz w:val="24"/>
          <w:szCs w:val="24"/>
        </w:rPr>
        <w:t>Renewals, e.g. equipment, planned property maintenance</w:t>
      </w:r>
    </w:p>
    <w:p w:rsidR="00C9646E" w:rsidRPr="00C9646E" w:rsidRDefault="00C9646E" w:rsidP="00C9646E">
      <w:pPr>
        <w:pStyle w:val="ListParagraph"/>
        <w:ind w:left="1069"/>
        <w:rPr>
          <w:rFonts w:ascii="Arial" w:hAnsi="Arial" w:cs="Arial"/>
          <w:color w:val="000000" w:themeColor="text1"/>
          <w:sz w:val="24"/>
          <w:szCs w:val="24"/>
        </w:rPr>
      </w:pPr>
    </w:p>
    <w:p w:rsidR="002858D6" w:rsidRDefault="002858D6" w:rsidP="00C9646E">
      <w:pPr>
        <w:pStyle w:val="ListParagraph"/>
        <w:numPr>
          <w:ilvl w:val="0"/>
          <w:numId w:val="5"/>
        </w:numPr>
        <w:spacing w:before="120" w:after="120"/>
        <w:ind w:left="1066" w:hanging="357"/>
        <w:rPr>
          <w:rFonts w:ascii="Arial" w:hAnsi="Arial" w:cs="Arial"/>
          <w:color w:val="000000" w:themeColor="text1"/>
          <w:sz w:val="24"/>
          <w:szCs w:val="24"/>
        </w:rPr>
      </w:pPr>
      <w:r w:rsidRPr="00C9646E">
        <w:rPr>
          <w:rFonts w:ascii="Arial" w:hAnsi="Arial" w:cs="Arial"/>
          <w:color w:val="000000" w:themeColor="text1"/>
          <w:sz w:val="24"/>
          <w:szCs w:val="24"/>
        </w:rPr>
        <w:t>To carry forward an underspend where expenditure has been committed to a particular project that cannot be spent in year</w:t>
      </w:r>
    </w:p>
    <w:p w:rsidR="00C9646E" w:rsidRPr="00C9646E" w:rsidRDefault="00C9646E" w:rsidP="00C9646E">
      <w:pPr>
        <w:pStyle w:val="ListParagraph"/>
        <w:spacing w:before="120" w:after="120"/>
        <w:ind w:left="1066"/>
        <w:rPr>
          <w:rFonts w:ascii="Arial" w:hAnsi="Arial" w:cs="Arial"/>
          <w:color w:val="000000" w:themeColor="text1"/>
          <w:sz w:val="24"/>
          <w:szCs w:val="24"/>
        </w:rPr>
      </w:pPr>
    </w:p>
    <w:p w:rsidR="002858D6" w:rsidRDefault="002858D6" w:rsidP="00C9646E">
      <w:pPr>
        <w:pStyle w:val="ListParagraph"/>
        <w:numPr>
          <w:ilvl w:val="0"/>
          <w:numId w:val="5"/>
        </w:numPr>
        <w:spacing w:before="120" w:after="120"/>
        <w:ind w:left="1066" w:hanging="357"/>
        <w:rPr>
          <w:rFonts w:ascii="Arial" w:hAnsi="Arial" w:cs="Arial"/>
          <w:color w:val="000000" w:themeColor="text1"/>
          <w:sz w:val="24"/>
          <w:szCs w:val="24"/>
        </w:rPr>
      </w:pPr>
      <w:r w:rsidRPr="00C9646E">
        <w:rPr>
          <w:rFonts w:ascii="Arial" w:hAnsi="Arial" w:cs="Arial"/>
          <w:color w:val="000000" w:themeColor="text1"/>
          <w:sz w:val="24"/>
          <w:szCs w:val="24"/>
        </w:rPr>
        <w:t>To enable the Council to meet the excess of claims not covered by insurance</w:t>
      </w:r>
    </w:p>
    <w:p w:rsidR="00C9646E" w:rsidRPr="00C9646E" w:rsidRDefault="00C9646E" w:rsidP="00C9646E">
      <w:pPr>
        <w:pStyle w:val="ListParagraph"/>
        <w:rPr>
          <w:rFonts w:ascii="Arial" w:hAnsi="Arial" w:cs="Arial"/>
          <w:color w:val="000000" w:themeColor="text1"/>
          <w:sz w:val="24"/>
          <w:szCs w:val="24"/>
        </w:rPr>
      </w:pPr>
    </w:p>
    <w:p w:rsidR="00C9646E" w:rsidRDefault="002858D6" w:rsidP="00C051F7">
      <w:pPr>
        <w:pStyle w:val="ListParagraph"/>
        <w:numPr>
          <w:ilvl w:val="0"/>
          <w:numId w:val="5"/>
        </w:numPr>
        <w:spacing w:before="120" w:after="120"/>
        <w:ind w:left="1066" w:hanging="357"/>
        <w:rPr>
          <w:rFonts w:ascii="Arial" w:hAnsi="Arial" w:cs="Arial"/>
          <w:color w:val="000000" w:themeColor="text1"/>
          <w:sz w:val="24"/>
          <w:szCs w:val="24"/>
        </w:rPr>
      </w:pPr>
      <w:r w:rsidRPr="00C9646E">
        <w:rPr>
          <w:rFonts w:ascii="Arial" w:hAnsi="Arial" w:cs="Arial"/>
          <w:color w:val="000000" w:themeColor="text1"/>
          <w:sz w:val="24"/>
          <w:szCs w:val="24"/>
        </w:rPr>
        <w:t>To indicate commitment to a capital project</w:t>
      </w:r>
    </w:p>
    <w:p w:rsidR="00C9646E" w:rsidRPr="00C9646E" w:rsidRDefault="00C9646E" w:rsidP="00C9646E">
      <w:pPr>
        <w:pStyle w:val="ListParagraph"/>
        <w:rPr>
          <w:rFonts w:ascii="Arial" w:hAnsi="Arial" w:cs="Arial"/>
          <w:color w:val="000000" w:themeColor="text1"/>
          <w:sz w:val="24"/>
          <w:szCs w:val="24"/>
        </w:rPr>
      </w:pPr>
    </w:p>
    <w:p w:rsidR="00C9646E" w:rsidRPr="00C9646E" w:rsidRDefault="002858D6" w:rsidP="00C051F7">
      <w:pPr>
        <w:pStyle w:val="ListParagraph"/>
        <w:numPr>
          <w:ilvl w:val="0"/>
          <w:numId w:val="5"/>
        </w:numPr>
        <w:spacing w:before="120" w:after="120"/>
        <w:ind w:left="1066" w:hanging="357"/>
        <w:rPr>
          <w:rFonts w:ascii="Arial" w:hAnsi="Arial" w:cs="Arial"/>
          <w:color w:val="000000" w:themeColor="text1"/>
          <w:sz w:val="24"/>
          <w:szCs w:val="24"/>
        </w:rPr>
      </w:pPr>
      <w:r w:rsidRPr="00C9646E">
        <w:rPr>
          <w:rFonts w:ascii="Arial" w:hAnsi="Arial" w:cs="Arial"/>
          <w:color w:val="000000" w:themeColor="text1"/>
          <w:sz w:val="24"/>
          <w:szCs w:val="24"/>
        </w:rPr>
        <w:t>To meet known or predicted liabilities</w:t>
      </w:r>
      <w:r w:rsidR="00C9646E">
        <w:rPr>
          <w:rFonts w:ascii="Arial" w:hAnsi="Arial" w:cs="Arial"/>
          <w:color w:val="000000" w:themeColor="text1"/>
          <w:sz w:val="24"/>
          <w:szCs w:val="24"/>
        </w:rPr>
        <w:t xml:space="preserve"> e.g. election expenses</w:t>
      </w:r>
    </w:p>
    <w:p w:rsidR="00C9646E" w:rsidRPr="00C9646E" w:rsidRDefault="00C9646E" w:rsidP="00C9646E">
      <w:pPr>
        <w:pStyle w:val="ListParagraph"/>
        <w:rPr>
          <w:rFonts w:ascii="Arial" w:hAnsi="Arial" w:cs="Arial"/>
          <w:color w:val="000000" w:themeColor="text1"/>
          <w:sz w:val="24"/>
          <w:szCs w:val="24"/>
        </w:rPr>
      </w:pPr>
    </w:p>
    <w:p w:rsidR="002858D6" w:rsidRPr="00C9646E" w:rsidRDefault="002858D6" w:rsidP="00C9646E">
      <w:pPr>
        <w:pStyle w:val="ListParagraph"/>
        <w:spacing w:before="120" w:after="120"/>
        <w:ind w:left="709"/>
        <w:rPr>
          <w:rFonts w:ascii="Arial" w:hAnsi="Arial" w:cs="Arial"/>
          <w:color w:val="000000" w:themeColor="text1"/>
          <w:sz w:val="24"/>
          <w:szCs w:val="24"/>
        </w:rPr>
      </w:pPr>
      <w:r w:rsidRPr="00C9646E">
        <w:rPr>
          <w:rFonts w:ascii="Arial" w:hAnsi="Arial" w:cs="Arial"/>
          <w:color w:val="000000" w:themeColor="text1"/>
          <w:sz w:val="24"/>
          <w:szCs w:val="24"/>
        </w:rPr>
        <w:t xml:space="preserve">Earmarked Reserves will be established on a ‘needs’ basis, in line with anticipated requirements, and must be held for a genuine and intended purpose.  Any decision to set up a reserve must be made by the Council.  Expenditure from reserves can only be </w:t>
      </w:r>
      <w:proofErr w:type="spellStart"/>
      <w:r w:rsidRPr="00C9646E">
        <w:rPr>
          <w:rFonts w:ascii="Arial" w:hAnsi="Arial" w:cs="Arial"/>
          <w:color w:val="000000" w:themeColor="text1"/>
          <w:sz w:val="24"/>
          <w:szCs w:val="24"/>
        </w:rPr>
        <w:t>authorised</w:t>
      </w:r>
      <w:proofErr w:type="spellEnd"/>
      <w:r w:rsidRPr="00C9646E">
        <w:rPr>
          <w:rFonts w:ascii="Arial" w:hAnsi="Arial" w:cs="Arial"/>
          <w:color w:val="000000" w:themeColor="text1"/>
          <w:sz w:val="24"/>
          <w:szCs w:val="24"/>
        </w:rPr>
        <w:t xml:space="preserve"> by the Council.</w:t>
      </w:r>
    </w:p>
    <w:p w:rsid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 xml:space="preserve">Reserves should not be held to fund on-going expenditure.  This would be unsustainable as, at some point, the reserves would be exhausted.  To the extent that reserves are used to meet short term funding gaps, they must be replenished the following year.  However, Earmarked Reserves that have been used to meet a specific liability </w:t>
      </w:r>
      <w:r w:rsidR="00150F86">
        <w:rPr>
          <w:rFonts w:ascii="Arial" w:hAnsi="Arial" w:cs="Arial"/>
          <w:color w:val="000000" w:themeColor="text1"/>
          <w:sz w:val="24"/>
          <w:szCs w:val="24"/>
        </w:rPr>
        <w:t>do</w:t>
      </w:r>
      <w:r w:rsidRPr="002858D6">
        <w:rPr>
          <w:rFonts w:ascii="Arial" w:hAnsi="Arial" w:cs="Arial"/>
          <w:color w:val="000000" w:themeColor="text1"/>
          <w:sz w:val="24"/>
          <w:szCs w:val="24"/>
        </w:rPr>
        <w:t xml:space="preserve"> not need to be replenished, having served the purpose for which they were originally established.</w:t>
      </w:r>
    </w:p>
    <w:p w:rsidR="002858D6" w:rsidRPr="002858D6" w:rsidRDefault="002858D6" w:rsidP="00C9646E">
      <w:pPr>
        <w:ind w:left="709"/>
        <w:rPr>
          <w:rFonts w:ascii="Arial" w:hAnsi="Arial" w:cs="Arial"/>
          <w:color w:val="000000" w:themeColor="text1"/>
          <w:sz w:val="24"/>
          <w:szCs w:val="24"/>
        </w:rPr>
      </w:pPr>
      <w:r w:rsidRPr="002858D6">
        <w:rPr>
          <w:rFonts w:ascii="Arial" w:hAnsi="Arial" w:cs="Arial"/>
          <w:color w:val="000000" w:themeColor="text1"/>
          <w:sz w:val="24"/>
          <w:szCs w:val="24"/>
        </w:rPr>
        <w:t>Earmarked Reserves should be separately identified and enumerated, and should be subject to annual review and justification.</w:t>
      </w:r>
    </w:p>
    <w:p w:rsidR="002858D6" w:rsidRPr="002858D6" w:rsidRDefault="002858D6" w:rsidP="00C9646E">
      <w:pPr>
        <w:rPr>
          <w:rFonts w:ascii="Arial" w:hAnsi="Arial" w:cs="Arial"/>
          <w:color w:val="000000" w:themeColor="text1"/>
          <w:sz w:val="24"/>
          <w:szCs w:val="24"/>
        </w:rPr>
      </w:pPr>
    </w:p>
    <w:p w:rsidR="002858D6" w:rsidRDefault="002858D6" w:rsidP="00150F86">
      <w:pPr>
        <w:pStyle w:val="Heading1"/>
        <w:numPr>
          <w:ilvl w:val="0"/>
          <w:numId w:val="2"/>
        </w:numPr>
        <w:ind w:hanging="720"/>
        <w:jc w:val="both"/>
        <w:rPr>
          <w:rFonts w:ascii="Arial" w:hAnsi="Arial" w:cs="Arial"/>
          <w:b/>
          <w:color w:val="2F5496" w:themeColor="accent5" w:themeShade="BF"/>
          <w:sz w:val="24"/>
          <w:szCs w:val="24"/>
        </w:rPr>
      </w:pPr>
      <w:bookmarkStart w:id="4" w:name="_Toc149748307"/>
      <w:r w:rsidRPr="002858D6">
        <w:rPr>
          <w:rFonts w:ascii="Arial" w:hAnsi="Arial" w:cs="Arial"/>
          <w:b/>
          <w:color w:val="2F5496" w:themeColor="accent5" w:themeShade="BF"/>
          <w:sz w:val="24"/>
          <w:szCs w:val="24"/>
        </w:rPr>
        <w:t>Current Level of Reserves</w:t>
      </w:r>
      <w:bookmarkEnd w:id="4"/>
    </w:p>
    <w:p w:rsidR="00150F86" w:rsidRPr="00150F86" w:rsidRDefault="00150F86" w:rsidP="00150F86">
      <w:pPr>
        <w:spacing w:after="0"/>
      </w:pPr>
    </w:p>
    <w:p w:rsidR="002858D6" w:rsidRPr="002858D6" w:rsidRDefault="002858D6" w:rsidP="00150F86">
      <w:pPr>
        <w:ind w:left="709"/>
        <w:rPr>
          <w:rFonts w:ascii="Arial" w:hAnsi="Arial" w:cs="Arial"/>
          <w:color w:val="000000" w:themeColor="text1"/>
          <w:sz w:val="24"/>
          <w:szCs w:val="24"/>
        </w:rPr>
      </w:pPr>
      <w:r w:rsidRPr="002858D6">
        <w:rPr>
          <w:rFonts w:ascii="Arial" w:hAnsi="Arial" w:cs="Arial"/>
          <w:color w:val="000000" w:themeColor="text1"/>
          <w:sz w:val="24"/>
          <w:szCs w:val="24"/>
        </w:rPr>
        <w:t>The level of financial reserves held by the Council will be agreed by the Parish Council during the discussions held regarding the setting of the budget for the next financial year.</w:t>
      </w:r>
    </w:p>
    <w:p w:rsidR="002858D6" w:rsidRDefault="002858D6" w:rsidP="00150F86">
      <w:pPr>
        <w:ind w:left="709"/>
        <w:rPr>
          <w:rFonts w:ascii="Arial" w:hAnsi="Arial" w:cs="Arial"/>
          <w:color w:val="000000" w:themeColor="text1"/>
          <w:sz w:val="24"/>
          <w:szCs w:val="24"/>
        </w:rPr>
      </w:pPr>
      <w:r w:rsidRPr="002858D6">
        <w:rPr>
          <w:rFonts w:ascii="Arial" w:hAnsi="Arial" w:cs="Arial"/>
          <w:color w:val="000000" w:themeColor="text1"/>
          <w:sz w:val="24"/>
          <w:szCs w:val="24"/>
        </w:rPr>
        <w:t xml:space="preserve">The current minimum level of General Reserves to be held by the Council is </w:t>
      </w:r>
      <w:r>
        <w:rPr>
          <w:rFonts w:ascii="Arial" w:hAnsi="Arial" w:cs="Arial"/>
          <w:color w:val="000000" w:themeColor="text1"/>
          <w:sz w:val="24"/>
          <w:szCs w:val="24"/>
        </w:rPr>
        <w:t>[</w:t>
      </w:r>
      <w:r w:rsidRPr="002858D6">
        <w:rPr>
          <w:rFonts w:ascii="Arial" w:hAnsi="Arial" w:cs="Arial"/>
          <w:color w:val="000000" w:themeColor="text1"/>
          <w:sz w:val="24"/>
          <w:szCs w:val="24"/>
        </w:rPr>
        <w:t xml:space="preserve">three </w:t>
      </w:r>
      <w:r>
        <w:rPr>
          <w:rFonts w:ascii="Arial" w:hAnsi="Arial" w:cs="Arial"/>
          <w:color w:val="000000" w:themeColor="text1"/>
          <w:sz w:val="24"/>
          <w:szCs w:val="24"/>
        </w:rPr>
        <w:t>m</w:t>
      </w:r>
      <w:r w:rsidRPr="002858D6">
        <w:rPr>
          <w:rFonts w:ascii="Arial" w:hAnsi="Arial" w:cs="Arial"/>
          <w:color w:val="000000" w:themeColor="text1"/>
          <w:sz w:val="24"/>
          <w:szCs w:val="24"/>
        </w:rPr>
        <w:t>onths</w:t>
      </w:r>
      <w:r>
        <w:rPr>
          <w:rFonts w:ascii="Arial" w:hAnsi="Arial" w:cs="Arial"/>
          <w:color w:val="000000" w:themeColor="text1"/>
          <w:sz w:val="24"/>
          <w:szCs w:val="24"/>
        </w:rPr>
        <w:t>]</w:t>
      </w:r>
      <w:r w:rsidRPr="002858D6">
        <w:rPr>
          <w:rFonts w:ascii="Arial" w:hAnsi="Arial" w:cs="Arial"/>
          <w:color w:val="000000" w:themeColor="text1"/>
          <w:sz w:val="24"/>
          <w:szCs w:val="24"/>
        </w:rPr>
        <w:t xml:space="preserve"> of predicted expenditure.</w:t>
      </w:r>
    </w:p>
    <w:p w:rsidR="00374770" w:rsidRPr="002858D6" w:rsidRDefault="002858D6" w:rsidP="00150F86">
      <w:pPr>
        <w:ind w:left="709"/>
        <w:rPr>
          <w:rFonts w:ascii="Arial" w:hAnsi="Arial" w:cs="Arial"/>
          <w:color w:val="000000" w:themeColor="text1"/>
          <w:sz w:val="24"/>
          <w:szCs w:val="24"/>
        </w:rPr>
      </w:pPr>
      <w:r w:rsidRPr="002858D6">
        <w:rPr>
          <w:rFonts w:ascii="Arial" w:hAnsi="Arial" w:cs="Arial"/>
          <w:color w:val="000000" w:themeColor="text1"/>
          <w:sz w:val="24"/>
          <w:szCs w:val="24"/>
        </w:rPr>
        <w:t>This policy will be reviewed on an annual basis to ensure these levels remain appropriate as changes in activity levels / range of services provided will inevitably lead to changes in the requisite minimum of General Reserves.</w:t>
      </w:r>
    </w:p>
    <w:sectPr w:rsidR="00374770" w:rsidRPr="002858D6" w:rsidSect="00621F59">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C9" w:rsidRDefault="00064AC9" w:rsidP="00621F59">
      <w:pPr>
        <w:spacing w:after="0" w:line="240" w:lineRule="auto"/>
      </w:pPr>
      <w:r>
        <w:separator/>
      </w:r>
    </w:p>
  </w:endnote>
  <w:endnote w:type="continuationSeparator" w:id="0">
    <w:p w:rsidR="00064AC9" w:rsidRDefault="00064AC9" w:rsidP="0062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95" w:rsidRDefault="00ED1A95">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430E4E" w:rsidRPr="00430E4E">
      <w:rPr>
        <w:b/>
        <w:bCs/>
        <w:noProof/>
      </w:rPr>
      <w:t>3</w:t>
    </w:r>
    <w:r>
      <w:rPr>
        <w:b/>
        <w:bCs/>
        <w:noProof/>
      </w:rPr>
      <w:fldChar w:fldCharType="end"/>
    </w:r>
    <w:r>
      <w:rPr>
        <w:b/>
        <w:bCs/>
        <w:noProof/>
      </w:rPr>
      <w:t xml:space="preserve"> </w:t>
    </w:r>
    <w:r>
      <w:rPr>
        <w:b/>
        <w:bCs/>
        <w:noProof/>
      </w:rPr>
      <w:tab/>
    </w:r>
    <w:r>
      <w:rPr>
        <w:b/>
        <w:bCs/>
        <w:noProof/>
      </w:rPr>
      <w:tab/>
      <w:t>V</w:t>
    </w:r>
    <w:r w:rsidR="00430E4E">
      <w:rPr>
        <w:b/>
        <w:bCs/>
        <w:noProof/>
      </w:rPr>
      <w:t>1 adopted 21</w:t>
    </w:r>
    <w:r w:rsidR="00430E4E" w:rsidRPr="00430E4E">
      <w:rPr>
        <w:b/>
        <w:bCs/>
        <w:noProof/>
        <w:vertAlign w:val="superscript"/>
      </w:rPr>
      <w:t>st</w:t>
    </w:r>
    <w:r w:rsidR="00430E4E">
      <w:rPr>
        <w:b/>
        <w:bCs/>
        <w:noProof/>
      </w:rPr>
      <w:t xml:space="preserve"> November </w:t>
    </w:r>
    <w:r>
      <w:rPr>
        <w:b/>
        <w:bCs/>
        <w:noProof/>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C9" w:rsidRDefault="00064AC9" w:rsidP="00621F59">
      <w:pPr>
        <w:spacing w:after="0" w:line="240" w:lineRule="auto"/>
      </w:pPr>
      <w:r>
        <w:separator/>
      </w:r>
    </w:p>
  </w:footnote>
  <w:footnote w:type="continuationSeparator" w:id="0">
    <w:p w:rsidR="00064AC9" w:rsidRDefault="00064AC9" w:rsidP="0062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95" w:rsidRDefault="00ED1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95" w:rsidRDefault="00ED1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95" w:rsidRDefault="00ED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D04"/>
    <w:multiLevelType w:val="hybridMultilevel"/>
    <w:tmpl w:val="EC6C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3D6"/>
    <w:multiLevelType w:val="hybridMultilevel"/>
    <w:tmpl w:val="5AB65EE8"/>
    <w:lvl w:ilvl="0" w:tplc="56766E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E4231"/>
    <w:multiLevelType w:val="hybridMultilevel"/>
    <w:tmpl w:val="361896C2"/>
    <w:lvl w:ilvl="0" w:tplc="04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A66EF1"/>
    <w:multiLevelType w:val="hybridMultilevel"/>
    <w:tmpl w:val="24345480"/>
    <w:lvl w:ilvl="0" w:tplc="D6D8AE38">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3A256492"/>
    <w:multiLevelType w:val="hybridMultilevel"/>
    <w:tmpl w:val="BB08C71C"/>
    <w:lvl w:ilvl="0" w:tplc="6244321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08"/>
    <w:rsid w:val="00024BBE"/>
    <w:rsid w:val="00025140"/>
    <w:rsid w:val="00054C6D"/>
    <w:rsid w:val="000609C1"/>
    <w:rsid w:val="00064AC9"/>
    <w:rsid w:val="00073331"/>
    <w:rsid w:val="0009129F"/>
    <w:rsid w:val="000D64A0"/>
    <w:rsid w:val="000F6A97"/>
    <w:rsid w:val="0011492F"/>
    <w:rsid w:val="001159A6"/>
    <w:rsid w:val="00135F3A"/>
    <w:rsid w:val="00150F86"/>
    <w:rsid w:val="001774B2"/>
    <w:rsid w:val="001B5A30"/>
    <w:rsid w:val="001D38B1"/>
    <w:rsid w:val="001D3CA5"/>
    <w:rsid w:val="001E61A3"/>
    <w:rsid w:val="001F4236"/>
    <w:rsid w:val="00203433"/>
    <w:rsid w:val="002412FC"/>
    <w:rsid w:val="00241EFB"/>
    <w:rsid w:val="002477ED"/>
    <w:rsid w:val="002858D6"/>
    <w:rsid w:val="002863CC"/>
    <w:rsid w:val="002A3343"/>
    <w:rsid w:val="002D4575"/>
    <w:rsid w:val="00342E47"/>
    <w:rsid w:val="00365907"/>
    <w:rsid w:val="00374770"/>
    <w:rsid w:val="003809C6"/>
    <w:rsid w:val="00383CE8"/>
    <w:rsid w:val="003D09F1"/>
    <w:rsid w:val="003E7A08"/>
    <w:rsid w:val="00430E4E"/>
    <w:rsid w:val="00443979"/>
    <w:rsid w:val="00481EC0"/>
    <w:rsid w:val="004C6BAA"/>
    <w:rsid w:val="004F5F68"/>
    <w:rsid w:val="0051693B"/>
    <w:rsid w:val="00524039"/>
    <w:rsid w:val="00553CA5"/>
    <w:rsid w:val="005653C6"/>
    <w:rsid w:val="005A0EA1"/>
    <w:rsid w:val="005F41E4"/>
    <w:rsid w:val="00605C73"/>
    <w:rsid w:val="00621F59"/>
    <w:rsid w:val="00725970"/>
    <w:rsid w:val="00734D09"/>
    <w:rsid w:val="00752C88"/>
    <w:rsid w:val="00790BD2"/>
    <w:rsid w:val="007A3E53"/>
    <w:rsid w:val="007D357C"/>
    <w:rsid w:val="007D44B4"/>
    <w:rsid w:val="007D61C3"/>
    <w:rsid w:val="007F2179"/>
    <w:rsid w:val="007F395D"/>
    <w:rsid w:val="007F75A8"/>
    <w:rsid w:val="0082344E"/>
    <w:rsid w:val="00844565"/>
    <w:rsid w:val="008861B9"/>
    <w:rsid w:val="008B404B"/>
    <w:rsid w:val="008C0FA5"/>
    <w:rsid w:val="008D3F9C"/>
    <w:rsid w:val="008E6102"/>
    <w:rsid w:val="00904446"/>
    <w:rsid w:val="00977BF0"/>
    <w:rsid w:val="0098436D"/>
    <w:rsid w:val="00996461"/>
    <w:rsid w:val="009A4B32"/>
    <w:rsid w:val="009B30F2"/>
    <w:rsid w:val="009E0FF8"/>
    <w:rsid w:val="009E3D37"/>
    <w:rsid w:val="00A01448"/>
    <w:rsid w:val="00A106DD"/>
    <w:rsid w:val="00A67201"/>
    <w:rsid w:val="00AE5038"/>
    <w:rsid w:val="00B37078"/>
    <w:rsid w:val="00B4254B"/>
    <w:rsid w:val="00B83BCE"/>
    <w:rsid w:val="00BD4226"/>
    <w:rsid w:val="00BE092E"/>
    <w:rsid w:val="00BE3D7E"/>
    <w:rsid w:val="00BE4102"/>
    <w:rsid w:val="00BE51E6"/>
    <w:rsid w:val="00C45CE9"/>
    <w:rsid w:val="00C57173"/>
    <w:rsid w:val="00C74761"/>
    <w:rsid w:val="00C9646E"/>
    <w:rsid w:val="00D25685"/>
    <w:rsid w:val="00D36877"/>
    <w:rsid w:val="00D40FCC"/>
    <w:rsid w:val="00D47ED6"/>
    <w:rsid w:val="00D8324A"/>
    <w:rsid w:val="00D923C8"/>
    <w:rsid w:val="00DB4D70"/>
    <w:rsid w:val="00DF2414"/>
    <w:rsid w:val="00E1413E"/>
    <w:rsid w:val="00E15A75"/>
    <w:rsid w:val="00E30188"/>
    <w:rsid w:val="00E412B5"/>
    <w:rsid w:val="00E46EF3"/>
    <w:rsid w:val="00E60408"/>
    <w:rsid w:val="00ED1A95"/>
    <w:rsid w:val="00F34DFC"/>
    <w:rsid w:val="00F75404"/>
    <w:rsid w:val="00F9776A"/>
    <w:rsid w:val="00FD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6A9E1"/>
  <w15:chartTrackingRefBased/>
  <w15:docId w15:val="{E174A0C2-76F9-4C21-9FB3-56D45A82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3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35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34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59"/>
  </w:style>
  <w:style w:type="paragraph" w:styleId="Footer">
    <w:name w:val="footer"/>
    <w:basedOn w:val="Normal"/>
    <w:link w:val="FooterChar"/>
    <w:uiPriority w:val="99"/>
    <w:unhideWhenUsed/>
    <w:rsid w:val="0062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F59"/>
  </w:style>
  <w:style w:type="paragraph" w:styleId="ListParagraph">
    <w:name w:val="List Paragraph"/>
    <w:basedOn w:val="Normal"/>
    <w:uiPriority w:val="34"/>
    <w:qFormat/>
    <w:rsid w:val="007D357C"/>
    <w:pPr>
      <w:ind w:left="720"/>
      <w:contextualSpacing/>
    </w:pPr>
  </w:style>
  <w:style w:type="character" w:customStyle="1" w:styleId="Heading2Char">
    <w:name w:val="Heading 2 Char"/>
    <w:basedOn w:val="DefaultParagraphFont"/>
    <w:link w:val="Heading2"/>
    <w:uiPriority w:val="9"/>
    <w:rsid w:val="007D35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357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7D357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40FCC"/>
    <w:pPr>
      <w:outlineLvl w:val="9"/>
    </w:pPr>
  </w:style>
  <w:style w:type="paragraph" w:styleId="TOC1">
    <w:name w:val="toc 1"/>
    <w:basedOn w:val="Normal"/>
    <w:next w:val="Normal"/>
    <w:autoRedefine/>
    <w:uiPriority w:val="39"/>
    <w:unhideWhenUsed/>
    <w:rsid w:val="00D40FCC"/>
    <w:pPr>
      <w:spacing w:after="100"/>
    </w:pPr>
  </w:style>
  <w:style w:type="character" w:styleId="Hyperlink">
    <w:name w:val="Hyperlink"/>
    <w:basedOn w:val="DefaultParagraphFont"/>
    <w:uiPriority w:val="99"/>
    <w:unhideWhenUsed/>
    <w:rsid w:val="00D40FCC"/>
    <w:rPr>
      <w:color w:val="0563C1" w:themeColor="hyperlink"/>
      <w:u w:val="single"/>
    </w:rPr>
  </w:style>
  <w:style w:type="table" w:styleId="TableGrid">
    <w:name w:val="Table Grid"/>
    <w:basedOn w:val="TableNormal"/>
    <w:uiPriority w:val="39"/>
    <w:rsid w:val="00C7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2344E"/>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054C6D"/>
    <w:pPr>
      <w:spacing w:after="100"/>
      <w:ind w:left="220"/>
    </w:pPr>
  </w:style>
  <w:style w:type="paragraph" w:styleId="TOC3">
    <w:name w:val="toc 3"/>
    <w:basedOn w:val="Normal"/>
    <w:next w:val="Normal"/>
    <w:autoRedefine/>
    <w:uiPriority w:val="39"/>
    <w:unhideWhenUsed/>
    <w:rsid w:val="00ED1A95"/>
    <w:pPr>
      <w:tabs>
        <w:tab w:val="left" w:pos="880"/>
        <w:tab w:val="right" w:leader="dot" w:pos="9350"/>
      </w:tabs>
      <w:spacing w:after="100"/>
      <w:ind w:left="440"/>
    </w:pPr>
    <w:rPr>
      <w:rFonts w:ascii="Arial" w:hAnsi="Arial" w:cs="Arial"/>
      <w:b/>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8D7D-E4FE-41DF-9FAA-7D78FFD1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Seaman</dc:creator>
  <cp:keywords/>
  <dc:description/>
  <cp:lastModifiedBy>Peter Seaman</cp:lastModifiedBy>
  <cp:revision>4</cp:revision>
  <cp:lastPrinted>2020-06-17T12:27:00Z</cp:lastPrinted>
  <dcterms:created xsi:type="dcterms:W3CDTF">2023-11-01T16:01:00Z</dcterms:created>
  <dcterms:modified xsi:type="dcterms:W3CDTF">2023-12-14T16:48:00Z</dcterms:modified>
</cp:coreProperties>
</file>